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7485" w14:textId="27075710" w:rsidR="00980956" w:rsidRDefault="00E027B7">
      <w:r>
        <w:t>June 25, 2025:</w:t>
      </w:r>
    </w:p>
    <w:p w14:paraId="1D25F0A8" w14:textId="5FAEF937" w:rsidR="00E027B7" w:rsidRDefault="00E027B7" w:rsidP="00667D98">
      <w:pPr>
        <w:pStyle w:val="ListParagraph"/>
        <w:numPr>
          <w:ilvl w:val="0"/>
          <w:numId w:val="1"/>
        </w:numPr>
      </w:pPr>
      <w:r>
        <w:t>Does the District have funding for this project?</w:t>
      </w:r>
      <w:r w:rsidR="00B603C8">
        <w:br/>
      </w:r>
      <w:r w:rsidR="009D6DB2" w:rsidRPr="000817C3">
        <w:rPr>
          <w:u w:val="single"/>
        </w:rPr>
        <w:t>Answer</w:t>
      </w:r>
      <w:r w:rsidR="009D6DB2">
        <w:t xml:space="preserve">: </w:t>
      </w:r>
      <w:r>
        <w:t>Yes.</w:t>
      </w:r>
      <w:r w:rsidR="00C74069">
        <w:t xml:space="preserve"> Additional clarification as of July 9 – The District does not have funding to construct a collection and treatment solution. It does have funding to cover the costs of this 90% Design and Costing effort.</w:t>
      </w:r>
      <w:r w:rsidR="00B603C8">
        <w:br/>
      </w:r>
    </w:p>
    <w:p w14:paraId="363ED188" w14:textId="415E7419" w:rsidR="00E027B7" w:rsidRDefault="00E027B7" w:rsidP="00B603C8">
      <w:pPr>
        <w:pStyle w:val="ListParagraph"/>
        <w:numPr>
          <w:ilvl w:val="0"/>
          <w:numId w:val="1"/>
        </w:numPr>
      </w:pPr>
      <w:r>
        <w:t>Is another firm doing the Environmental?</w:t>
      </w:r>
      <w:r w:rsidR="00B603C8">
        <w:br/>
      </w:r>
      <w:r w:rsidR="009D6DB2" w:rsidRPr="000817C3">
        <w:rPr>
          <w:u w:val="single"/>
        </w:rPr>
        <w:t>Answer</w:t>
      </w:r>
      <w:r w:rsidR="009D6DB2">
        <w:t xml:space="preserve">: </w:t>
      </w:r>
      <w:r>
        <w:t>Yes, Padre</w:t>
      </w:r>
      <w:r w:rsidR="00503746">
        <w:t xml:space="preserve"> and Associates has the contract for Environmental.</w:t>
      </w:r>
    </w:p>
    <w:p w14:paraId="2BC7E275" w14:textId="33A26E0F" w:rsidR="004E4891" w:rsidRDefault="004E4891" w:rsidP="004E4891">
      <w:r>
        <w:t>July 3, 2025:</w:t>
      </w:r>
    </w:p>
    <w:p w14:paraId="16934B99" w14:textId="30447C40" w:rsidR="004E4891" w:rsidRDefault="004E4891" w:rsidP="00503746">
      <w:pPr>
        <w:ind w:left="360"/>
      </w:pPr>
      <w:r>
        <w:t xml:space="preserve">The </w:t>
      </w:r>
      <w:r w:rsidRPr="00914DA7">
        <w:rPr>
          <w:color w:val="EE0000"/>
        </w:rPr>
        <w:t>due date for RFP responses was moved to August 1</w:t>
      </w:r>
      <w:r>
        <w:t xml:space="preserve"> (from July 18) due to the unavailability of </w:t>
      </w:r>
      <w:r w:rsidR="007471A8">
        <w:t>one RFP response rater. Given his unavailability, it was decided that responders should be given as much time as possible to respond.</w:t>
      </w:r>
    </w:p>
    <w:p w14:paraId="5B221DEE" w14:textId="473669C7" w:rsidR="002C1D6A" w:rsidRDefault="0041143A" w:rsidP="00B603C8">
      <w:pPr>
        <w:pStyle w:val="ListParagraph"/>
        <w:numPr>
          <w:ilvl w:val="0"/>
          <w:numId w:val="1"/>
        </w:numPr>
      </w:pPr>
      <w:r>
        <w:t xml:space="preserve">What level of </w:t>
      </w:r>
      <w:r w:rsidR="002C1D6A">
        <w:t>topographical mapping does the District possess?</w:t>
      </w:r>
      <w:r w:rsidR="00B603C8">
        <w:br/>
      </w:r>
      <w:r w:rsidR="007D683F" w:rsidRPr="00BA2DDD">
        <w:rPr>
          <w:u w:val="single"/>
        </w:rPr>
        <w:t>Answer</w:t>
      </w:r>
      <w:r w:rsidR="007D683F">
        <w:t xml:space="preserve">: </w:t>
      </w:r>
      <w:r w:rsidR="002C1D6A">
        <w:t xml:space="preserve">The District has recent topographical mapping information for parcels within the </w:t>
      </w:r>
      <w:r w:rsidR="006064F4">
        <w:t>District’s boundaries</w:t>
      </w:r>
      <w:r w:rsidR="002C1D6A">
        <w:t xml:space="preserve">. </w:t>
      </w:r>
      <w:r w:rsidR="006064F4">
        <w:t xml:space="preserve">We </w:t>
      </w:r>
      <w:r w:rsidR="002C1D6A">
        <w:t xml:space="preserve">relied on the County of Santa Barbara for such information for parcels along the </w:t>
      </w:r>
      <w:r w:rsidR="006064F4">
        <w:t xml:space="preserve">Alamo Pintado Avenue corridor. </w:t>
      </w:r>
      <w:r w:rsidR="00914DA7">
        <w:t xml:space="preserve">It is expected that responders will likely need to </w:t>
      </w:r>
      <w:r w:rsidR="00924253">
        <w:t>shoot new topo for that corridor. Note: The District would anticipate having full rights to any such data obtained.</w:t>
      </w:r>
    </w:p>
    <w:p w14:paraId="6D9039F1" w14:textId="7E48DDDB" w:rsidR="00B911A5" w:rsidRDefault="00B911A5" w:rsidP="00B911A5">
      <w:r>
        <w:t xml:space="preserve">July </w:t>
      </w:r>
      <w:r w:rsidR="00FD3FF5">
        <w:t>9</w:t>
      </w:r>
      <w:r>
        <w:t>, 2025</w:t>
      </w:r>
    </w:p>
    <w:p w14:paraId="647539F1" w14:textId="31415C44" w:rsidR="007B0C44" w:rsidRDefault="007B0C44" w:rsidP="00B603C8">
      <w:pPr>
        <w:pStyle w:val="ListParagraph"/>
        <w:numPr>
          <w:ilvl w:val="0"/>
          <w:numId w:val="1"/>
        </w:numPr>
      </w:pPr>
      <w:r>
        <w:t>What is the District’s priority with this RFP?</w:t>
      </w:r>
      <w:r w:rsidR="00B603C8">
        <w:br/>
      </w:r>
      <w:r w:rsidRPr="00BA2DDD">
        <w:rPr>
          <w:u w:val="single"/>
        </w:rPr>
        <w:t>Answer</w:t>
      </w:r>
      <w:r>
        <w:t xml:space="preserve">: The District is trying to accomplish </w:t>
      </w:r>
      <w:r w:rsidR="00D11515">
        <w:t>three</w:t>
      </w:r>
      <w:r>
        <w:t xml:space="preserve"> primary goals with the RFP. </w:t>
      </w:r>
      <w:r w:rsidR="00585979">
        <w:br/>
      </w:r>
      <w:r>
        <w:t xml:space="preserve">(1) to reconcile </w:t>
      </w:r>
      <w:r w:rsidR="00585979">
        <w:t xml:space="preserve">disparate designs/costs that were obtained from Stantec and REGEN. The disparities are not a result of the </w:t>
      </w:r>
      <w:r w:rsidR="00F5125F">
        <w:t>work completed by these firms, but are due to the District’s approach to obtaining the information. The reconciliation process is intended to allow the District to make a final decision regarding the collection approach (effluent, gravity, or a mix) it intends to use within the District’s boundaries.</w:t>
      </w:r>
      <w:r w:rsidR="00F5125F">
        <w:br/>
        <w:t>(2)</w:t>
      </w:r>
      <w:r w:rsidR="003D0861">
        <w:t xml:space="preserve"> </w:t>
      </w:r>
      <w:r w:rsidR="0091076B" w:rsidRPr="0091076B">
        <w:t xml:space="preserve">to advance the design </w:t>
      </w:r>
      <w:r w:rsidR="0091076B">
        <w:t>far enough</w:t>
      </w:r>
      <w:r w:rsidR="0091076B" w:rsidRPr="0091076B">
        <w:t xml:space="preserve"> to have high confidence in an accurate estimate and budget for the project in order to proceed to a Proposition 218 compliant Assessment vote. For purposes of this effort, 90% design will not include preparation of detailed technical specifications. </w:t>
      </w:r>
      <w:r w:rsidR="00CE1484">
        <w:t>Proposers should</w:t>
      </w:r>
      <w:r w:rsidR="0091076B" w:rsidRPr="0091076B">
        <w:t xml:space="preserve"> clearly state their qualifying factors in preparation of a 90% design according to information they find in the reference studies and documentation.</w:t>
      </w:r>
      <w:r w:rsidR="003D0861">
        <w:t xml:space="preserve"> </w:t>
      </w:r>
      <w:r w:rsidR="00D11515">
        <w:br/>
        <w:t xml:space="preserve">(3) to establish a relationship with an engineering firm that can carry the District </w:t>
      </w:r>
      <w:r w:rsidR="00D11515">
        <w:lastRenderedPageBreak/>
        <w:t>through final design of its wastewater treatment solution.</w:t>
      </w:r>
      <w:r w:rsidR="00636D8E">
        <w:br/>
      </w:r>
    </w:p>
    <w:p w14:paraId="4FD2D710" w14:textId="77777777" w:rsidR="00605221" w:rsidRDefault="00605221" w:rsidP="007D683F">
      <w:pPr>
        <w:pStyle w:val="ListParagraph"/>
        <w:numPr>
          <w:ilvl w:val="0"/>
          <w:numId w:val="1"/>
        </w:numPr>
      </w:pPr>
      <w:r>
        <w:t>Will the proposer you select at this stage be your consultant through final design (full PS&amp;E)?</w:t>
      </w:r>
    </w:p>
    <w:p w14:paraId="6ED90063" w14:textId="12C3FF72" w:rsidR="00605221" w:rsidRDefault="00605221" w:rsidP="00605221">
      <w:pPr>
        <w:pStyle w:val="ListParagraph"/>
      </w:pPr>
      <w:r w:rsidRPr="00636D8E">
        <w:rPr>
          <w:u w:val="single"/>
        </w:rPr>
        <w:t>Answer</w:t>
      </w:r>
      <w:r>
        <w:t>: Yes, we may use the winner of this RFP process as our engineering firm through final design</w:t>
      </w:r>
      <w:r w:rsidR="001F7EE5">
        <w:t xml:space="preserve"> </w:t>
      </w:r>
      <w:r w:rsidR="00636D8E">
        <w:t xml:space="preserve">(full PS&amp;E) </w:t>
      </w:r>
      <w:r w:rsidR="001F7EE5">
        <w:t>for the items covered in this RFP</w:t>
      </w:r>
      <w:r>
        <w:t>.</w:t>
      </w:r>
      <w:r w:rsidR="00D011DC">
        <w:br/>
      </w:r>
    </w:p>
    <w:p w14:paraId="1CF405D7" w14:textId="788996CD" w:rsidR="004B4953" w:rsidRDefault="004B4953" w:rsidP="00C331CD">
      <w:pPr>
        <w:pStyle w:val="ListParagraph"/>
        <w:numPr>
          <w:ilvl w:val="0"/>
          <w:numId w:val="1"/>
        </w:numPr>
      </w:pPr>
      <w:r>
        <w:t>We noted the change in due dates for responses. Do you anticipate moving the award date as well?</w:t>
      </w:r>
      <w:r w:rsidR="001F7EE5">
        <w:br/>
      </w:r>
      <w:r w:rsidRPr="00636D8E">
        <w:rPr>
          <w:u w:val="single"/>
        </w:rPr>
        <w:t>Answer</w:t>
      </w:r>
      <w:r>
        <w:t xml:space="preserve">: Yes, the contract award date is now targeted for </w:t>
      </w:r>
      <w:r w:rsidR="003E4A3A">
        <w:t>September 10, 2025.</w:t>
      </w:r>
    </w:p>
    <w:p w14:paraId="63DCE261" w14:textId="77777777" w:rsidR="001F7EE5" w:rsidRDefault="001F7EE5" w:rsidP="001F7EE5">
      <w:pPr>
        <w:pStyle w:val="ListParagraph"/>
      </w:pPr>
    </w:p>
    <w:p w14:paraId="78D7F8BB" w14:textId="63CC40E4" w:rsidR="00B911A5" w:rsidRDefault="00B911A5" w:rsidP="001F7EE5">
      <w:pPr>
        <w:pStyle w:val="ListParagraph"/>
        <w:numPr>
          <w:ilvl w:val="0"/>
          <w:numId w:val="1"/>
        </w:numPr>
      </w:pPr>
      <w:r>
        <w:t>Are there firms that are excluded from responding to the RFP</w:t>
      </w:r>
      <w:r w:rsidR="002A3368">
        <w:t>?</w:t>
      </w:r>
      <w:r w:rsidR="001F7EE5">
        <w:br/>
      </w:r>
      <w:r w:rsidR="007D683F" w:rsidRPr="00636D8E">
        <w:rPr>
          <w:u w:val="single"/>
        </w:rPr>
        <w:t>Answer</w:t>
      </w:r>
      <w:r w:rsidR="007D683F">
        <w:t xml:space="preserve">: </w:t>
      </w:r>
      <w:r>
        <w:t>Yes</w:t>
      </w:r>
      <w:r w:rsidR="001A3682">
        <w:t xml:space="preserve">. </w:t>
      </w:r>
      <w:r>
        <w:t xml:space="preserve">MNS Engineering </w:t>
      </w:r>
      <w:r w:rsidR="001A3682">
        <w:t xml:space="preserve">is excluded </w:t>
      </w:r>
      <w:r>
        <w:t>from responding as an MNS employee serves a</w:t>
      </w:r>
      <w:r w:rsidR="005E7AE9">
        <w:t>s</w:t>
      </w:r>
      <w:r>
        <w:t xml:space="preserve"> the LOCSD District Engineer and will serve on the RFP Response review team.</w:t>
      </w:r>
    </w:p>
    <w:p w14:paraId="5E73AEA4" w14:textId="77777777" w:rsidR="001F7EE5" w:rsidRDefault="001F7EE5" w:rsidP="001F7EE5">
      <w:pPr>
        <w:pStyle w:val="ListParagraph"/>
      </w:pPr>
    </w:p>
    <w:p w14:paraId="5AAE3896" w14:textId="467D6B8D" w:rsidR="001F7EE5" w:rsidRDefault="00B42F6C" w:rsidP="001F7EE5">
      <w:pPr>
        <w:pStyle w:val="ListParagraph"/>
        <w:numPr>
          <w:ilvl w:val="0"/>
          <w:numId w:val="1"/>
        </w:numPr>
      </w:pPr>
      <w:r>
        <w:t>How much latitude do we have in responding to the RFP?</w:t>
      </w:r>
      <w:r w:rsidR="001F7EE5">
        <w:br/>
      </w:r>
      <w:r w:rsidR="007D683F" w:rsidRPr="00636D8E">
        <w:rPr>
          <w:u w:val="single"/>
        </w:rPr>
        <w:t>Answer</w:t>
      </w:r>
      <w:r w:rsidR="007D683F">
        <w:t xml:space="preserve">: </w:t>
      </w:r>
      <w:r>
        <w:t xml:space="preserve">To be responsive, </w:t>
      </w:r>
      <w:r w:rsidR="009D6DB2">
        <w:t xml:space="preserve">you </w:t>
      </w:r>
      <w:r w:rsidR="003E4A3A">
        <w:t>must</w:t>
      </w:r>
      <w:r w:rsidR="009D6DB2">
        <w:t xml:space="preserve"> include the effort and costs related to getting the District to the 90% Design and Cost level. </w:t>
      </w:r>
      <w:r w:rsidR="002649DD">
        <w:t>Respondents should be clear what 90% design will include and exclude. A</w:t>
      </w:r>
      <w:r w:rsidR="000D03C0">
        <w:t xml:space="preserve">s noted in the RFP, </w:t>
      </w:r>
      <w:r w:rsidR="00FB492A">
        <w:t>responders can consider offering additional or different services that may go along with the 90% effort</w:t>
      </w:r>
      <w:r w:rsidR="00E4706B">
        <w:t xml:space="preserve"> or other District activities</w:t>
      </w:r>
      <w:r w:rsidR="00FB492A">
        <w:t xml:space="preserve">. </w:t>
      </w:r>
      <w:r w:rsidR="00694141">
        <w:t>Additionally, responders can consider breaking the</w:t>
      </w:r>
      <w:r w:rsidR="00A40497">
        <w:t>ir proposal</w:t>
      </w:r>
      <w:r w:rsidR="00694141">
        <w:t xml:space="preserve"> down into “work packages” that allow for a methodical </w:t>
      </w:r>
      <w:r w:rsidR="007B0C44">
        <w:t>approach to getting to design and cost figures</w:t>
      </w:r>
      <w:r w:rsidR="00A40497">
        <w:t>, while also supporting the District’s overall goals of the project</w:t>
      </w:r>
      <w:r w:rsidR="007B0C44">
        <w:t xml:space="preserve">. </w:t>
      </w:r>
      <w:r w:rsidR="001F7EE5">
        <w:br/>
      </w:r>
    </w:p>
    <w:p w14:paraId="6903DF25" w14:textId="525D760E" w:rsidR="0032095C" w:rsidRDefault="00A87CE2" w:rsidP="001F7EE5">
      <w:pPr>
        <w:pStyle w:val="ListParagraph"/>
        <w:numPr>
          <w:ilvl w:val="0"/>
          <w:numId w:val="1"/>
        </w:numPr>
      </w:pPr>
      <w:r>
        <w:t xml:space="preserve">Is another firm </w:t>
      </w:r>
      <w:r w:rsidR="00D6205B">
        <w:t>performing</w:t>
      </w:r>
      <w:r>
        <w:t xml:space="preserve"> </w:t>
      </w:r>
      <w:r w:rsidR="00D6205B">
        <w:t>Assessment</w:t>
      </w:r>
      <w:r>
        <w:t xml:space="preserve"> Engineering prior to the Prop 218?</w:t>
      </w:r>
      <w:r w:rsidR="001F7EE5">
        <w:br/>
      </w:r>
      <w:r w:rsidRPr="00096B06">
        <w:rPr>
          <w:u w:val="single"/>
        </w:rPr>
        <w:t>Answer</w:t>
      </w:r>
      <w:r>
        <w:t xml:space="preserve">: The District used NV5 to complete an initial pass </w:t>
      </w:r>
      <w:r w:rsidR="00D6205B">
        <w:t xml:space="preserve">at an Assessment Engineer’s report. </w:t>
      </w:r>
      <w:r w:rsidR="00A05ED4">
        <w:t xml:space="preserve">The District anticipates obtaining new quotes for </w:t>
      </w:r>
      <w:r w:rsidR="00007EFC">
        <w:t>completing</w:t>
      </w:r>
      <w:r w:rsidR="00A05ED4">
        <w:t xml:space="preserve"> a “final” </w:t>
      </w:r>
      <w:r w:rsidR="00007EFC">
        <w:t xml:space="preserve">Assessment Engineer’s report prior to the Prop 218. </w:t>
      </w:r>
      <w:r w:rsidR="001F7EE5">
        <w:br/>
      </w:r>
    </w:p>
    <w:p w14:paraId="64973E0D" w14:textId="7C3303EA" w:rsidR="001A3682" w:rsidRDefault="0032095C" w:rsidP="00672110">
      <w:pPr>
        <w:pStyle w:val="ListParagraph"/>
        <w:numPr>
          <w:ilvl w:val="0"/>
          <w:numId w:val="1"/>
        </w:numPr>
      </w:pPr>
      <w:r>
        <w:t xml:space="preserve">Advancing the 30% design performed by others requires some level of verification to advance the design and assume responsibility as engineer-of-record. </w:t>
      </w:r>
      <w:r w:rsidR="00480E0F">
        <w:t xml:space="preserve">Should </w:t>
      </w:r>
      <w:r w:rsidR="00656576">
        <w:t xml:space="preserve">we </w:t>
      </w:r>
      <w:r w:rsidR="00480E0F">
        <w:t xml:space="preserve">include these costs in </w:t>
      </w:r>
      <w:r w:rsidR="00656576">
        <w:t>our</w:t>
      </w:r>
      <w:r w:rsidR="00480E0F">
        <w:t xml:space="preserve"> proposal</w:t>
      </w:r>
      <w:r>
        <w:t>?</w:t>
      </w:r>
      <w:r w:rsidR="00007EFC">
        <w:br/>
      </w:r>
      <w:r w:rsidR="00FD3FF5" w:rsidRPr="00656576">
        <w:rPr>
          <w:u w:val="single"/>
        </w:rPr>
        <w:t>Answer</w:t>
      </w:r>
      <w:r w:rsidR="00FD3FF5">
        <w:t xml:space="preserve">: </w:t>
      </w:r>
      <w:r>
        <w:t xml:space="preserve">Yes, it is assumed that </w:t>
      </w:r>
      <w:r w:rsidR="00672110">
        <w:t>the successful proposer</w:t>
      </w:r>
      <w:r>
        <w:t xml:space="preserve"> will review the previously prepared survey and design efforts sufficiently to use the</w:t>
      </w:r>
      <w:r w:rsidR="00E8573A">
        <w:t xml:space="preserve"> previously generated</w:t>
      </w:r>
      <w:r>
        <w:t xml:space="preserve"> engineering products </w:t>
      </w:r>
      <w:r w:rsidR="002A176B">
        <w:t xml:space="preserve">as a basis for their efforts. </w:t>
      </w:r>
      <w:r w:rsidR="004C15FF">
        <w:br/>
      </w:r>
    </w:p>
    <w:p w14:paraId="65E0D2DB" w14:textId="4CE5B609" w:rsidR="00C40555" w:rsidRDefault="00480E0F" w:rsidP="00FA5ADF">
      <w:pPr>
        <w:pStyle w:val="ListParagraph"/>
        <w:numPr>
          <w:ilvl w:val="0"/>
          <w:numId w:val="1"/>
        </w:numPr>
      </w:pPr>
      <w:r>
        <w:lastRenderedPageBreak/>
        <w:t xml:space="preserve">The 30% </w:t>
      </w:r>
      <w:r w:rsidR="00C63A63">
        <w:t xml:space="preserve">effluent </w:t>
      </w:r>
      <w:r>
        <w:t xml:space="preserve">collection system design makes assumptions on cost for work performed on individual lots </w:t>
      </w:r>
      <w:r w:rsidR="00FA5ADF">
        <w:t xml:space="preserve">(e.g. </w:t>
      </w:r>
      <w:r>
        <w:t>effluent tanks, pumps</w:t>
      </w:r>
      <w:r w:rsidR="00DE1524">
        <w:t>, electrical</w:t>
      </w:r>
      <w:r>
        <w:t xml:space="preserve"> and laterals</w:t>
      </w:r>
      <w:r w:rsidR="00FA5ADF">
        <w:t>)</w:t>
      </w:r>
      <w:r>
        <w:t xml:space="preserve">. </w:t>
      </w:r>
      <w:r w:rsidR="00035C48">
        <w:t>How d</w:t>
      </w:r>
      <w:r>
        <w:t xml:space="preserve">oes the District </w:t>
      </w:r>
      <w:r w:rsidR="00035C48">
        <w:t xml:space="preserve">want us to address moving </w:t>
      </w:r>
      <w:r w:rsidR="00C40555">
        <w:t>this part of the design forward?</w:t>
      </w:r>
      <w:r w:rsidR="004C15FF">
        <w:br/>
      </w:r>
      <w:r w:rsidR="00C40555" w:rsidRPr="00E8573A">
        <w:rPr>
          <w:u w:val="single"/>
        </w:rPr>
        <w:t>Answer</w:t>
      </w:r>
      <w:r w:rsidR="00C40555">
        <w:t xml:space="preserve">: </w:t>
      </w:r>
      <w:r w:rsidR="00C63A63">
        <w:t>The 30% effluent collection design co</w:t>
      </w:r>
      <w:r w:rsidR="00311290">
        <w:t xml:space="preserve">ncluded that all lots within the District had sufficient room to </w:t>
      </w:r>
      <w:r w:rsidR="00DA1CC3">
        <w:t>hold a</w:t>
      </w:r>
      <w:r w:rsidR="00DC0B56">
        <w:t>n appropriately sized</w:t>
      </w:r>
      <w:r w:rsidR="00DA1CC3">
        <w:t xml:space="preserve"> tank and provided estimates for on-parcel </w:t>
      </w:r>
      <w:r w:rsidR="00EB5C5D">
        <w:t>components. At this point in time, the District is assuming that all on-parcel components, including installation of laterals</w:t>
      </w:r>
      <w:r w:rsidR="00E51239">
        <w:t>, will be the responsibility of parcel owners.</w:t>
      </w:r>
      <w:r w:rsidR="0001764B">
        <w:t xml:space="preserve"> Ideally, respondents would </w:t>
      </w:r>
      <w:r w:rsidR="00171497">
        <w:t>list the costs to “ensure feasi</w:t>
      </w:r>
      <w:r w:rsidR="002A2964">
        <w:t>bility” of placement of tanks and other components</w:t>
      </w:r>
      <w:r w:rsidR="00AC2531">
        <w:t xml:space="preserve"> as an optional work package.</w:t>
      </w:r>
      <w:r w:rsidR="0055785D">
        <w:br/>
      </w:r>
    </w:p>
    <w:p w14:paraId="57E3C9EB" w14:textId="357A219D" w:rsidR="009C57A4" w:rsidRDefault="002A6A45" w:rsidP="009C57A4">
      <w:pPr>
        <w:pStyle w:val="ListParagraph"/>
        <w:numPr>
          <w:ilvl w:val="0"/>
          <w:numId w:val="1"/>
        </w:numPr>
      </w:pPr>
      <w:r w:rsidRPr="002A6A45">
        <w:t xml:space="preserve">Are the sewer laterals going to be constructed by the District as part of the project or is the project stubbing out the lateral </w:t>
      </w:r>
      <w:r w:rsidR="00526655">
        <w:t>at</w:t>
      </w:r>
      <w:r w:rsidRPr="002A6A45">
        <w:t xml:space="preserve"> the property line</w:t>
      </w:r>
      <w:r w:rsidR="00526655">
        <w:t>?</w:t>
      </w:r>
      <w:r w:rsidR="00526655">
        <w:br/>
      </w:r>
      <w:r w:rsidR="00526655" w:rsidRPr="00667A71">
        <w:rPr>
          <w:u w:val="single"/>
        </w:rPr>
        <w:t>Answer</w:t>
      </w:r>
      <w:r w:rsidR="00526655">
        <w:t xml:space="preserve">: </w:t>
      </w:r>
      <w:r w:rsidR="00015C2D">
        <w:t xml:space="preserve">Design and construction of sewer laterals will be the responsibility of parcel owners. </w:t>
      </w:r>
      <w:r w:rsidR="0021144D">
        <w:t xml:space="preserve">Depending on the collection approach selected by the District (effluent or gravity), the District may </w:t>
      </w:r>
      <w:r w:rsidR="00E629ED">
        <w:t xml:space="preserve">establish a contractual relationship with a consultant who can provide design support </w:t>
      </w:r>
      <w:r w:rsidR="00D1362B">
        <w:t>work performed on individual parcels. Regardless, t</w:t>
      </w:r>
      <w:r w:rsidR="00015C2D">
        <w:t>he District anticipate</w:t>
      </w:r>
      <w:r w:rsidR="00BA2DF9">
        <w:t>s a process where it “approves” the final connection</w:t>
      </w:r>
      <w:r w:rsidR="00D1362B">
        <w:t xml:space="preserve"> to the District’s sewer main</w:t>
      </w:r>
      <w:r w:rsidR="00BA2DF9">
        <w:t>.</w:t>
      </w:r>
      <w:r w:rsidR="009C57A4">
        <w:br/>
      </w:r>
    </w:p>
    <w:p w14:paraId="2B15CDB7" w14:textId="7CF0795B" w:rsidR="00887159" w:rsidRDefault="00502078" w:rsidP="00887159">
      <w:pPr>
        <w:pStyle w:val="ListParagraph"/>
        <w:numPr>
          <w:ilvl w:val="0"/>
          <w:numId w:val="1"/>
        </w:numPr>
      </w:pPr>
      <w:r>
        <w:t xml:space="preserve">Is there geotechnical information available? Is additional geotechnical testing on the Alamo Pintado </w:t>
      </w:r>
      <w:r w:rsidR="00667A71">
        <w:t>p</w:t>
      </w:r>
      <w:r>
        <w:t>ipe route expected?</w:t>
      </w:r>
      <w:r w:rsidR="009C57A4">
        <w:br/>
      </w:r>
      <w:r w:rsidR="009C57A4" w:rsidRPr="00667A71">
        <w:rPr>
          <w:u w:val="single"/>
        </w:rPr>
        <w:t>Answer</w:t>
      </w:r>
      <w:r w:rsidR="009C57A4">
        <w:t xml:space="preserve">: </w:t>
      </w:r>
      <w:r>
        <w:t xml:space="preserve">There are boring logs available for the five groundwater monitoring wells recently built within the District Boundaries. This information is available on </w:t>
      </w:r>
      <w:r w:rsidR="009C57A4">
        <w:t>our</w:t>
      </w:r>
      <w:r>
        <w:t xml:space="preserve"> website. Other geotechnical study or borings required for a competent 90% design should be included in </w:t>
      </w:r>
      <w:r w:rsidR="00D11174">
        <w:t>your</w:t>
      </w:r>
      <w:r>
        <w:t xml:space="preserve"> proposal.</w:t>
      </w:r>
      <w:r w:rsidR="00887159">
        <w:br/>
      </w:r>
    </w:p>
    <w:p w14:paraId="093734AC" w14:textId="20A9ABCA" w:rsidR="00502078" w:rsidRDefault="00B41522" w:rsidP="00887159">
      <w:pPr>
        <w:pStyle w:val="ListParagraph"/>
        <w:numPr>
          <w:ilvl w:val="0"/>
          <w:numId w:val="1"/>
        </w:numPr>
      </w:pPr>
      <w:r>
        <w:t>Is the City of Solvang requiring a metering tank / equalization tank?</w:t>
      </w:r>
      <w:r w:rsidR="00887159">
        <w:br/>
      </w:r>
      <w:r w:rsidR="00887159" w:rsidRPr="00D11174">
        <w:rPr>
          <w:u w:val="single"/>
        </w:rPr>
        <w:t>Answer</w:t>
      </w:r>
      <w:r w:rsidR="00887159">
        <w:t xml:space="preserve">: </w:t>
      </w:r>
      <w:r w:rsidR="00502078">
        <w:t xml:space="preserve">Yes. The City of Solvang has </w:t>
      </w:r>
      <w:r w:rsidR="001635F0">
        <w:t xml:space="preserve">said </w:t>
      </w:r>
      <w:r w:rsidR="00502078">
        <w:t xml:space="preserve">that for </w:t>
      </w:r>
      <w:r w:rsidR="001635F0">
        <w:t xml:space="preserve">LOCSD to </w:t>
      </w:r>
      <w:r w:rsidR="00502078">
        <w:t xml:space="preserve">connect to their </w:t>
      </w:r>
      <w:r w:rsidR="001635F0">
        <w:t>infrastructure</w:t>
      </w:r>
      <w:r w:rsidR="00502078">
        <w:t xml:space="preserve"> they require a “metering tank” to mitigate and control peak flows. </w:t>
      </w:r>
      <w:r w:rsidR="006D73D3">
        <w:t>Proposers should include the effort to</w:t>
      </w:r>
      <w:r w:rsidR="00502078">
        <w:t xml:space="preserve"> recommend the optimal </w:t>
      </w:r>
      <w:r w:rsidR="000817C3">
        <w:t xml:space="preserve">design and </w:t>
      </w:r>
      <w:r w:rsidR="00502078">
        <w:t xml:space="preserve">placement of this tank </w:t>
      </w:r>
      <w:r w:rsidR="000817C3">
        <w:t xml:space="preserve">(tanks) </w:t>
      </w:r>
      <w:r w:rsidR="00502078">
        <w:t>and whether it may be integrated into the wet-well storage for the primary lift station located at the south end of the District.</w:t>
      </w:r>
    </w:p>
    <w:p w14:paraId="2DDCB0BF" w14:textId="4114BB90" w:rsidR="00855E81" w:rsidRDefault="00855E81" w:rsidP="00855E81">
      <w:r>
        <w:t xml:space="preserve">July </w:t>
      </w:r>
      <w:r>
        <w:t>21</w:t>
      </w:r>
      <w:r>
        <w:t>, 2025</w:t>
      </w:r>
    </w:p>
    <w:p w14:paraId="1571126E" w14:textId="7B61CC44" w:rsidR="00855E81" w:rsidRDefault="0059541A" w:rsidP="0059541A">
      <w:pPr>
        <w:pStyle w:val="ListParagraph"/>
        <w:numPr>
          <w:ilvl w:val="0"/>
          <w:numId w:val="1"/>
        </w:numPr>
      </w:pPr>
      <w:r>
        <w:t xml:space="preserve">What is the last date I can ask questions regarding the RFP? </w:t>
      </w:r>
      <w:r w:rsidR="00855E81">
        <w:br/>
      </w:r>
      <w:r w:rsidR="00855E81" w:rsidRPr="00BA2DDD">
        <w:rPr>
          <w:u w:val="single"/>
        </w:rPr>
        <w:t>Answer</w:t>
      </w:r>
      <w:r w:rsidR="00855E81">
        <w:t>:</w:t>
      </w:r>
      <w:r>
        <w:t xml:space="preserve">  </w:t>
      </w:r>
      <w:r w:rsidR="005D1C48">
        <w:t xml:space="preserve">Questions will be accepted and answered through </w:t>
      </w:r>
      <w:r w:rsidR="00F1084D">
        <w:t>the end of the day on Monday July 28, 2025.</w:t>
      </w:r>
    </w:p>
    <w:p w14:paraId="29C8418C" w14:textId="77777777" w:rsidR="00F1084D" w:rsidRDefault="00F1084D" w:rsidP="00F1084D">
      <w:pPr>
        <w:pStyle w:val="ListParagraph"/>
      </w:pPr>
    </w:p>
    <w:p w14:paraId="35BB7B75" w14:textId="1401AA62" w:rsidR="0059541A" w:rsidRDefault="0059541A" w:rsidP="0059541A">
      <w:pPr>
        <w:pStyle w:val="ListParagraph"/>
        <w:numPr>
          <w:ilvl w:val="0"/>
          <w:numId w:val="1"/>
        </w:numPr>
      </w:pPr>
      <w:r>
        <w:t>What time on August 1 are RFP responses due</w:t>
      </w:r>
      <w:r>
        <w:t xml:space="preserve">? </w:t>
      </w:r>
      <w:r>
        <w:br/>
      </w:r>
      <w:r w:rsidRPr="00BA2DDD">
        <w:rPr>
          <w:u w:val="single"/>
        </w:rPr>
        <w:t>Answer</w:t>
      </w:r>
      <w:r>
        <w:t xml:space="preserve">:  </w:t>
      </w:r>
      <w:r>
        <w:t xml:space="preserve">Responses </w:t>
      </w:r>
      <w:r w:rsidR="005D1C48">
        <w:t>should be submitted by 6 PM Pacific</w:t>
      </w:r>
    </w:p>
    <w:p w14:paraId="4757D9FF" w14:textId="77777777" w:rsidR="007A752E" w:rsidRDefault="007A752E" w:rsidP="007A752E">
      <w:pPr>
        <w:pStyle w:val="ListParagraph"/>
      </w:pPr>
    </w:p>
    <w:p w14:paraId="40819C59" w14:textId="2749E18D" w:rsidR="007A752E" w:rsidRDefault="00606F4B" w:rsidP="0059541A">
      <w:pPr>
        <w:pStyle w:val="ListParagraph"/>
        <w:numPr>
          <w:ilvl w:val="0"/>
          <w:numId w:val="1"/>
        </w:numPr>
      </w:pPr>
      <w:r>
        <w:t>NOTE: Regarding question/answer #2. Padre was awarded the environmental contract on July 9, 2025.</w:t>
      </w:r>
    </w:p>
    <w:p w14:paraId="3C44C80D" w14:textId="77777777" w:rsidR="0059541A" w:rsidRDefault="0059541A" w:rsidP="005D1C48">
      <w:pPr>
        <w:pStyle w:val="ListParagraph"/>
      </w:pPr>
    </w:p>
    <w:sectPr w:rsidR="00595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3207"/>
    <w:multiLevelType w:val="hybridMultilevel"/>
    <w:tmpl w:val="16E82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4D08"/>
    <w:multiLevelType w:val="hybridMultilevel"/>
    <w:tmpl w:val="5A9C99CA"/>
    <w:lvl w:ilvl="0" w:tplc="8C342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13E66"/>
    <w:multiLevelType w:val="hybridMultilevel"/>
    <w:tmpl w:val="5F827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27142">
    <w:abstractNumId w:val="2"/>
  </w:num>
  <w:num w:numId="2" w16cid:durableId="1455632338">
    <w:abstractNumId w:val="1"/>
  </w:num>
  <w:num w:numId="3" w16cid:durableId="210830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07"/>
    <w:rsid w:val="00007EFC"/>
    <w:rsid w:val="00015C2D"/>
    <w:rsid w:val="0001764B"/>
    <w:rsid w:val="00035C48"/>
    <w:rsid w:val="000817C3"/>
    <w:rsid w:val="00096B06"/>
    <w:rsid w:val="000D03C0"/>
    <w:rsid w:val="00154ECF"/>
    <w:rsid w:val="001635F0"/>
    <w:rsid w:val="00171497"/>
    <w:rsid w:val="001A3682"/>
    <w:rsid w:val="001F7EE5"/>
    <w:rsid w:val="0021144D"/>
    <w:rsid w:val="002649DD"/>
    <w:rsid w:val="00277909"/>
    <w:rsid w:val="002A176B"/>
    <w:rsid w:val="002A2964"/>
    <w:rsid w:val="002A3368"/>
    <w:rsid w:val="002A6A45"/>
    <w:rsid w:val="002B2A07"/>
    <w:rsid w:val="002C1D6A"/>
    <w:rsid w:val="002D5272"/>
    <w:rsid w:val="00311290"/>
    <w:rsid w:val="00314294"/>
    <w:rsid w:val="0032095C"/>
    <w:rsid w:val="00334DFB"/>
    <w:rsid w:val="003778BC"/>
    <w:rsid w:val="003D0861"/>
    <w:rsid w:val="003E4A3A"/>
    <w:rsid w:val="0041143A"/>
    <w:rsid w:val="00480E0F"/>
    <w:rsid w:val="004B4953"/>
    <w:rsid w:val="004C15FF"/>
    <w:rsid w:val="004E4891"/>
    <w:rsid w:val="00502078"/>
    <w:rsid w:val="00503746"/>
    <w:rsid w:val="00504447"/>
    <w:rsid w:val="00526655"/>
    <w:rsid w:val="0055785D"/>
    <w:rsid w:val="00585979"/>
    <w:rsid w:val="0059541A"/>
    <w:rsid w:val="005D1C48"/>
    <w:rsid w:val="005D597F"/>
    <w:rsid w:val="005E7AE9"/>
    <w:rsid w:val="00605221"/>
    <w:rsid w:val="006064F4"/>
    <w:rsid w:val="00606F4B"/>
    <w:rsid w:val="00636D8E"/>
    <w:rsid w:val="00656576"/>
    <w:rsid w:val="00667A71"/>
    <w:rsid w:val="00667D98"/>
    <w:rsid w:val="00672110"/>
    <w:rsid w:val="00694141"/>
    <w:rsid w:val="006B6DA8"/>
    <w:rsid w:val="006C1954"/>
    <w:rsid w:val="006D73D3"/>
    <w:rsid w:val="007471A8"/>
    <w:rsid w:val="007A752E"/>
    <w:rsid w:val="007B0C44"/>
    <w:rsid w:val="007D683F"/>
    <w:rsid w:val="00817ED1"/>
    <w:rsid w:val="00855E81"/>
    <w:rsid w:val="00887159"/>
    <w:rsid w:val="0091076B"/>
    <w:rsid w:val="00914DA7"/>
    <w:rsid w:val="00924253"/>
    <w:rsid w:val="009764B7"/>
    <w:rsid w:val="00980956"/>
    <w:rsid w:val="009C57A4"/>
    <w:rsid w:val="009D6DB2"/>
    <w:rsid w:val="009F0A50"/>
    <w:rsid w:val="00A05ED4"/>
    <w:rsid w:val="00A33693"/>
    <w:rsid w:val="00A40497"/>
    <w:rsid w:val="00A87CE2"/>
    <w:rsid w:val="00AC2531"/>
    <w:rsid w:val="00AC68C3"/>
    <w:rsid w:val="00B41522"/>
    <w:rsid w:val="00B42F6C"/>
    <w:rsid w:val="00B50A0D"/>
    <w:rsid w:val="00B603C8"/>
    <w:rsid w:val="00B911A5"/>
    <w:rsid w:val="00BA2DDD"/>
    <w:rsid w:val="00BA2DF9"/>
    <w:rsid w:val="00BF78EB"/>
    <w:rsid w:val="00C331CD"/>
    <w:rsid w:val="00C40555"/>
    <w:rsid w:val="00C63A63"/>
    <w:rsid w:val="00C74069"/>
    <w:rsid w:val="00CE1484"/>
    <w:rsid w:val="00D011DC"/>
    <w:rsid w:val="00D11174"/>
    <w:rsid w:val="00D11515"/>
    <w:rsid w:val="00D1362B"/>
    <w:rsid w:val="00D57013"/>
    <w:rsid w:val="00D6205B"/>
    <w:rsid w:val="00DA1CC3"/>
    <w:rsid w:val="00DC0B56"/>
    <w:rsid w:val="00DE1524"/>
    <w:rsid w:val="00E027B7"/>
    <w:rsid w:val="00E048F1"/>
    <w:rsid w:val="00E4706B"/>
    <w:rsid w:val="00E51239"/>
    <w:rsid w:val="00E629ED"/>
    <w:rsid w:val="00E66B74"/>
    <w:rsid w:val="00E8573A"/>
    <w:rsid w:val="00EB5C5D"/>
    <w:rsid w:val="00ED779E"/>
    <w:rsid w:val="00EF02B1"/>
    <w:rsid w:val="00F061EE"/>
    <w:rsid w:val="00F1084D"/>
    <w:rsid w:val="00F17A49"/>
    <w:rsid w:val="00F36816"/>
    <w:rsid w:val="00F5125F"/>
    <w:rsid w:val="00FA5ADF"/>
    <w:rsid w:val="00FB492A"/>
    <w:rsid w:val="00F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B498"/>
  <w15:chartTrackingRefBased/>
  <w15:docId w15:val="{A417E14C-0FA9-4B93-A442-D412004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A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A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A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938C03-1A03-402C-8DA2-CB13B7BF912F}">
  <we:reference id="wa104380526" version="1.0.33.0" store="en-US" storeType="OMEX"/>
  <we:alternateReferences>
    <we:reference id="WA104380526" version="1.0.3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Savage</dc:creator>
  <cp:keywords/>
  <dc:description/>
  <cp:lastModifiedBy>Guy Savage</cp:lastModifiedBy>
  <cp:revision>12</cp:revision>
  <dcterms:created xsi:type="dcterms:W3CDTF">2025-07-22T02:57:00Z</dcterms:created>
  <dcterms:modified xsi:type="dcterms:W3CDTF">2025-07-22T03:04:00Z</dcterms:modified>
</cp:coreProperties>
</file>